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70B0C" w14:textId="77777777" w:rsidR="005B7D58" w:rsidRPr="005B7D58" w:rsidRDefault="005B7D58" w:rsidP="005B7D58">
      <w:pPr>
        <w:spacing w:after="0"/>
        <w:jc w:val="center"/>
        <w:rPr>
          <w:b/>
          <w:bCs/>
          <w:lang w:val="en-US"/>
        </w:rPr>
      </w:pPr>
      <w:r w:rsidRPr="005B7D58">
        <w:rPr>
          <w:b/>
          <w:bCs/>
          <w:lang w:val="en-US"/>
        </w:rPr>
        <w:t>Disclaimer</w:t>
      </w:r>
    </w:p>
    <w:p w14:paraId="4A0FC0B2" w14:textId="77777777" w:rsidR="005B7D58" w:rsidRPr="005B7D58" w:rsidRDefault="005B7D58" w:rsidP="005B7D58">
      <w:pPr>
        <w:spacing w:after="0"/>
        <w:jc w:val="both"/>
        <w:rPr>
          <w:b/>
          <w:bCs/>
          <w:lang w:val="en-US"/>
        </w:rPr>
      </w:pPr>
    </w:p>
    <w:p w14:paraId="6FD25207" w14:textId="77777777" w:rsidR="005B7D58" w:rsidRDefault="005B7D58" w:rsidP="005B7D58">
      <w:pPr>
        <w:spacing w:after="0"/>
        <w:jc w:val="both"/>
        <w:rPr>
          <w:b/>
          <w:bCs/>
        </w:rPr>
      </w:pPr>
      <w:r w:rsidRPr="005B7D58">
        <w:rPr>
          <w:b/>
          <w:bCs/>
        </w:rPr>
        <w:t>THESE MATERIALS ARE NOT DIRECTED AT OR INTENDED TO BE ACCESSED BY PERSONS LOCATED OUTSIDE INDIA. THESE MATERIALS ARE BEING MADE AVAILABLE ON THIS WEBSITE TO COMPLY WITH SECURITIES AND EXCHANGE BOARD OF INDIA (ISSUE OF CAPITAL AND DISCLOSURE REQUIREMENTS) REGULATIONS, 2018, AS AMENDED.</w:t>
      </w:r>
    </w:p>
    <w:p w14:paraId="6D8EB81D" w14:textId="77777777" w:rsidR="005B7D58" w:rsidRPr="005B7D58" w:rsidRDefault="005B7D58" w:rsidP="005B7D58">
      <w:pPr>
        <w:spacing w:after="0"/>
        <w:jc w:val="both"/>
        <w:rPr>
          <w:b/>
          <w:bCs/>
        </w:rPr>
      </w:pPr>
    </w:p>
    <w:p w14:paraId="2FDC952C" w14:textId="77777777" w:rsidR="005B7D58" w:rsidRPr="005B7D58" w:rsidRDefault="005B7D58" w:rsidP="005B7D58">
      <w:pPr>
        <w:spacing w:after="0"/>
        <w:jc w:val="both"/>
        <w:rPr>
          <w:b/>
          <w:lang w:val="en-US"/>
        </w:rPr>
      </w:pPr>
      <w:r w:rsidRPr="005B7D58">
        <w:rPr>
          <w:b/>
          <w:bCs/>
          <w:lang w:val="en-US"/>
        </w:rPr>
        <w:t>THESE MATERIALS ARE NOT DIRECTED AT OR INTENDED TO BE ACCESSED BY PERSONS LOCATED OUTSIDE INDIA.</w:t>
      </w:r>
    </w:p>
    <w:p w14:paraId="3C5372FB" w14:textId="77777777" w:rsidR="005B7D58" w:rsidRPr="005B7D58" w:rsidRDefault="005B7D58" w:rsidP="005B7D58">
      <w:pPr>
        <w:spacing w:after="0"/>
        <w:jc w:val="both"/>
        <w:rPr>
          <w:b/>
          <w:lang w:val="en-US"/>
        </w:rPr>
      </w:pPr>
    </w:p>
    <w:p w14:paraId="686ED149" w14:textId="77777777" w:rsidR="005B7D58" w:rsidRPr="005B7D58" w:rsidRDefault="005B7D58" w:rsidP="005B7D58">
      <w:pPr>
        <w:spacing w:after="0"/>
        <w:jc w:val="both"/>
        <w:rPr>
          <w:b/>
          <w:lang w:val="en-US"/>
        </w:rPr>
      </w:pPr>
      <w:r w:rsidRPr="005B7D58">
        <w:rPr>
          <w:b/>
          <w:lang w:val="en-US"/>
        </w:rPr>
        <w:t>IMPORTANT: You must read and agree with the terms and conditions of the following disclaimer before continuing.</w:t>
      </w:r>
    </w:p>
    <w:p w14:paraId="0C76425D" w14:textId="77777777" w:rsidR="005B7D58" w:rsidRDefault="005B7D58" w:rsidP="005B7D58">
      <w:pPr>
        <w:spacing w:after="0"/>
        <w:jc w:val="both"/>
      </w:pPr>
    </w:p>
    <w:p w14:paraId="72A1CF1A" w14:textId="3AE13847" w:rsidR="005B7D58" w:rsidRPr="005B7D58" w:rsidRDefault="005B7D58" w:rsidP="005B7D58">
      <w:pPr>
        <w:spacing w:after="0"/>
        <w:jc w:val="both"/>
      </w:pPr>
      <w:r w:rsidRPr="005B7D58">
        <w:t>The following disclaimer applies to the draft red herring prospectus of Karamtara Engineering Limited (the “</w:t>
      </w:r>
      <w:r w:rsidRPr="00925EEA">
        <w:rPr>
          <w:b/>
          <w:bCs/>
        </w:rPr>
        <w:t>Company</w:t>
      </w:r>
      <w:r w:rsidRPr="005B7D58">
        <w:t>”) dated January 22, 2025 (“</w:t>
      </w:r>
      <w:r w:rsidRPr="00925EEA">
        <w:rPr>
          <w:b/>
          <w:bCs/>
        </w:rPr>
        <w:t>DRHP</w:t>
      </w:r>
      <w:r w:rsidRPr="005B7D58">
        <w:t>”) filed with the Securities and Exchange Board of India (the “</w:t>
      </w:r>
      <w:r w:rsidRPr="00925EEA">
        <w:rPr>
          <w:b/>
          <w:bCs/>
        </w:rPr>
        <w:t>SEBI</w:t>
      </w:r>
      <w:r w:rsidRPr="005B7D58">
        <w:t>”), BSE Limited (“</w:t>
      </w:r>
      <w:r w:rsidRPr="00925EEA">
        <w:rPr>
          <w:b/>
          <w:bCs/>
        </w:rPr>
        <w:t>BSE</w:t>
      </w:r>
      <w:r w:rsidRPr="005B7D58">
        <w:t>”)</w:t>
      </w:r>
      <w:r w:rsidR="00435144">
        <w:t xml:space="preserve"> </w:t>
      </w:r>
      <w:r w:rsidRPr="005B7D58">
        <w:t>and National Stock Exchange of India Limited (“</w:t>
      </w:r>
      <w:r w:rsidRPr="00925EEA">
        <w:rPr>
          <w:b/>
          <w:bCs/>
        </w:rPr>
        <w:t>NSE</w:t>
      </w:r>
      <w:r w:rsidRPr="005B7D58">
        <w:t>”, and together with BSE, the “</w:t>
      </w:r>
      <w:r w:rsidRPr="00925EEA">
        <w:rPr>
          <w:b/>
          <w:bCs/>
        </w:rPr>
        <w:t>Stock Exchanges</w:t>
      </w:r>
      <w:r w:rsidRPr="005B7D58">
        <w:t>”)</w:t>
      </w:r>
      <w:r>
        <w:t xml:space="preserve">, as well as the audio visual film of the Company </w:t>
      </w:r>
      <w:r w:rsidR="008366AF" w:rsidRPr="005B7D58">
        <w:t>(“</w:t>
      </w:r>
      <w:r w:rsidR="008366AF">
        <w:rPr>
          <w:b/>
          <w:bCs/>
        </w:rPr>
        <w:t>IPO AV</w:t>
      </w:r>
      <w:r w:rsidR="008366AF" w:rsidRPr="005B7D58">
        <w:t xml:space="preserve">”) </w:t>
      </w:r>
      <w:r w:rsidRPr="005B7D58">
        <w:t>hosted on this website in connection with the public offering of equity shares of the Company (the “</w:t>
      </w:r>
      <w:r w:rsidRPr="00925EEA">
        <w:rPr>
          <w:b/>
          <w:bCs/>
        </w:rPr>
        <w:t>Offer</w:t>
      </w:r>
      <w:r w:rsidRPr="005B7D58">
        <w:t>”).</w:t>
      </w:r>
    </w:p>
    <w:p w14:paraId="6E439633" w14:textId="77777777" w:rsidR="005B7D58" w:rsidRDefault="005B7D58" w:rsidP="008E62C1">
      <w:pPr>
        <w:spacing w:after="0"/>
        <w:jc w:val="both"/>
        <w:rPr>
          <w:b/>
        </w:rPr>
      </w:pPr>
    </w:p>
    <w:p w14:paraId="1A2188DF" w14:textId="6D38C0B9" w:rsidR="008E62C1" w:rsidRDefault="008E62C1" w:rsidP="008E62C1">
      <w:pPr>
        <w:spacing w:after="0"/>
        <w:jc w:val="both"/>
      </w:pPr>
      <w:r w:rsidRPr="008E62C1">
        <w:rPr>
          <w:b/>
        </w:rPr>
        <w:t>KARAMTARA ENGINEERING LIMITED</w:t>
      </w:r>
      <w:r w:rsidRPr="008E62C1">
        <w:t xml:space="preserve"> is proposing, subject to applicable statutory and regulatory requirements, receipt of requisite approvals, market conditions and other considerations, to make an initial public offering of its Equity Shares and has filed the DRHP dated January 22,</w:t>
      </w:r>
      <w:r>
        <w:t xml:space="preserve"> </w:t>
      </w:r>
      <w:r w:rsidRPr="008E62C1">
        <w:t>2025 with SEBI and the Stock Exchanges.</w:t>
      </w:r>
    </w:p>
    <w:p w14:paraId="1E855E16" w14:textId="77777777" w:rsidR="008E62C1" w:rsidRPr="008E62C1" w:rsidRDefault="008E62C1" w:rsidP="008E62C1">
      <w:pPr>
        <w:spacing w:after="0"/>
        <w:jc w:val="both"/>
      </w:pPr>
    </w:p>
    <w:p w14:paraId="138C8165" w14:textId="35467D9B" w:rsidR="008E62C1" w:rsidRDefault="008E62C1" w:rsidP="008E62C1">
      <w:pPr>
        <w:spacing w:after="0"/>
        <w:jc w:val="both"/>
      </w:pPr>
      <w:r w:rsidRPr="008E62C1">
        <w:t xml:space="preserve">The DRHP is available on the website of SEBI at www.sebi.gov.in, on the websites of the Stock Exchanges, i.e., BSE and NSE at www.bseindia.com and www.nseindia.com, respectively, on the website of the Company at www.karamtara.com and on the websites of the BRLMs, i.e. Book Running Lead Managers: JM Financial Limited at www.jmfl.com; ICICI Securities Limited at www.icicisecurities.com; IIFL Capital Services Limited (formerly known as IIFL Securities Limited) at www.iiflcap.com, respectively. Any potential investors should note that investment in equity shares involves a high degree of risk and for details relating to such risk, see ‘Risk Factors’ on Page 27 of the DRHP and the </w:t>
      </w:r>
      <w:r w:rsidR="008366AF" w:rsidRPr="000D4424">
        <w:t>red herring prospectus</w:t>
      </w:r>
      <w:r w:rsidRPr="008E62C1">
        <w:t>, when filed. Potential Bidders should not rely on the DRHP filed with SEBI and the Stock Exchanges for making any investment decision.</w:t>
      </w:r>
    </w:p>
    <w:p w14:paraId="3FE53074" w14:textId="77777777" w:rsidR="008E62C1" w:rsidRPr="008E62C1" w:rsidRDefault="008E62C1" w:rsidP="008E62C1">
      <w:pPr>
        <w:spacing w:after="0"/>
        <w:jc w:val="both"/>
      </w:pPr>
    </w:p>
    <w:p w14:paraId="104CC3E1" w14:textId="13EA980D" w:rsidR="008E62C1" w:rsidRDefault="008E62C1" w:rsidP="008E62C1">
      <w:pPr>
        <w:spacing w:after="0"/>
        <w:jc w:val="both"/>
      </w:pPr>
      <w:r w:rsidRPr="008E62C1">
        <w:t xml:space="preserve">This announcement does not constitute an invitation or offer of securities for sale in any jurisdiction. </w:t>
      </w:r>
      <w:r w:rsidR="00B8389F" w:rsidRPr="00CF6043">
        <w:rPr>
          <w:bCs/>
          <w:lang w:eastAsia="en-GB"/>
        </w:rPr>
        <w:t xml:space="preserve">The securities offered in the Offer have not been and will not be registered under the </w:t>
      </w:r>
      <w:r w:rsidR="00B8389F">
        <w:rPr>
          <w:bCs/>
          <w:lang w:eastAsia="en-GB"/>
        </w:rPr>
        <w:t xml:space="preserve">U.S. </w:t>
      </w:r>
      <w:r w:rsidR="00B8389F" w:rsidRPr="00CF6043">
        <w:rPr>
          <w:bCs/>
          <w:lang w:eastAsia="en-GB"/>
        </w:rPr>
        <w:t>Securities Act</w:t>
      </w:r>
      <w:r w:rsidR="00B8389F">
        <w:rPr>
          <w:bCs/>
          <w:lang w:eastAsia="en-GB"/>
        </w:rPr>
        <w:t xml:space="preserve"> of 1933, as amended (the “</w:t>
      </w:r>
      <w:r w:rsidR="00B8389F" w:rsidRPr="006744BF">
        <w:rPr>
          <w:b/>
          <w:lang w:eastAsia="en-GB"/>
        </w:rPr>
        <w:t>U.S. Securities Act</w:t>
      </w:r>
      <w:r w:rsidR="00B8389F">
        <w:rPr>
          <w:bCs/>
          <w:lang w:eastAsia="en-GB"/>
        </w:rPr>
        <w:t>”)</w:t>
      </w:r>
      <w:r w:rsidR="00B8389F" w:rsidRPr="00CF6043">
        <w:rPr>
          <w:bCs/>
          <w:lang w:eastAsia="en-GB"/>
        </w:rPr>
        <w:t xml:space="preserve"> and may not be offered or sold within the United States except pursuant to an exemption from, or in a transaction not subject to, the registration requirements of the U.S. Securities Act and applicable U.S. state securities laws. Accordingly, the securities are only being offered and sold (i) within the United States to “qualified institutional buyers” (as defined in Rule 144A under the U.S. Securities Act and referred to in the </w:t>
      </w:r>
      <w:r w:rsidR="00B8389F">
        <w:rPr>
          <w:bCs/>
          <w:lang w:eastAsia="en-GB"/>
        </w:rPr>
        <w:t>DRHP</w:t>
      </w:r>
      <w:r w:rsidR="00B8389F" w:rsidRPr="00CF6043">
        <w:rPr>
          <w:bCs/>
          <w:lang w:eastAsia="en-GB"/>
        </w:rPr>
        <w:t xml:space="preserve"> as “U.S. QIBs”, for the avoidance of doubt, the term U.S. QIBs does not refer to a category of institutional investor defined under applicable Indian regulations and referred to in the </w:t>
      </w:r>
      <w:r w:rsidR="00B8389F">
        <w:rPr>
          <w:bCs/>
          <w:lang w:eastAsia="en-GB"/>
        </w:rPr>
        <w:t>DRHP</w:t>
      </w:r>
      <w:r w:rsidR="00B8389F" w:rsidRPr="00CF6043">
        <w:rPr>
          <w:bCs/>
          <w:lang w:eastAsia="en-GB"/>
        </w:rPr>
        <w:t xml:space="preserve"> as “QIBs”) and (ii) outside the United States in offshore transactions in reliance on Regulation S under the U.S. Securities Act and the applicable laws of the jurisdiction where those offers and sales occur</w:t>
      </w:r>
      <w:r w:rsidRPr="008E62C1">
        <w:t>.</w:t>
      </w:r>
    </w:p>
    <w:p w14:paraId="6CB52093" w14:textId="77777777" w:rsidR="000D4424" w:rsidRDefault="000D4424" w:rsidP="008E62C1">
      <w:pPr>
        <w:spacing w:after="0"/>
        <w:jc w:val="both"/>
      </w:pPr>
    </w:p>
    <w:p w14:paraId="7E5F3E4B" w14:textId="5CA72BDA" w:rsidR="000D4424" w:rsidRDefault="000D4424" w:rsidP="000D4424">
      <w:pPr>
        <w:spacing w:after="0"/>
        <w:jc w:val="both"/>
      </w:pPr>
      <w:r w:rsidRPr="000D4424">
        <w:lastRenderedPageBreak/>
        <w:t>The Company, and JM Financial Limited, IIFL Capital Services Limited (</w:t>
      </w:r>
      <w:r w:rsidRPr="000D4424">
        <w:rPr>
          <w:i/>
          <w:iCs/>
        </w:rPr>
        <w:t xml:space="preserve">formerly </w:t>
      </w:r>
      <w:r w:rsidR="008366AF">
        <w:rPr>
          <w:i/>
          <w:iCs/>
        </w:rPr>
        <w:t xml:space="preserve">known as </w:t>
      </w:r>
      <w:r w:rsidRPr="000D4424">
        <w:rPr>
          <w:i/>
          <w:iCs/>
        </w:rPr>
        <w:t>IIFL Securities Limited</w:t>
      </w:r>
      <w:r w:rsidRPr="000D4424">
        <w:t>) and ICICI Securities Limited (collectively, the “</w:t>
      </w:r>
      <w:r w:rsidRPr="000D4424">
        <w:rPr>
          <w:b/>
          <w:bCs/>
        </w:rPr>
        <w:t>Book Running Lead Managers</w:t>
      </w:r>
      <w:r w:rsidRPr="000D4424">
        <w:t xml:space="preserve">”) and their respective affiliates, directors, officers, agents, representatives, advisers and employees do not accept any liability whatsoever, direct or indirect, that may arise from the use of the information contained on this website. The information in the DRHP </w:t>
      </w:r>
      <w:r>
        <w:t xml:space="preserve">and IPO AV </w:t>
      </w:r>
      <w:r w:rsidRPr="000D4424">
        <w:t xml:space="preserve">is as of the date thereof and neither the Company, the Book Running Lead Managers nor their respective affiliates, directors, officers, agents, representatives, advisers or employees are under any obligation to update or revise the DRHP </w:t>
      </w:r>
      <w:r>
        <w:t xml:space="preserve">and the IPO AV </w:t>
      </w:r>
      <w:r w:rsidRPr="000D4424">
        <w:t xml:space="preserve">to reflect circumstances arising after the date thereof. You are reminded that documents transmitted in electronic form may be altered or changed during the process of transmission and consequently, neither the Company, the Book Running Lead Managers nor any of their respective affiliates, directors, officers, agents, representatives, advisers or employees accepts any liability or responsibility whatsoever in respect of alterations or changes which have taken place during the course of transmission of the DRHP </w:t>
      </w:r>
      <w:r>
        <w:t xml:space="preserve">and the IPO AV </w:t>
      </w:r>
      <w:r w:rsidRPr="000D4424">
        <w:t>in electronic format.</w:t>
      </w:r>
    </w:p>
    <w:p w14:paraId="4269C5A4" w14:textId="77777777" w:rsidR="000D4424" w:rsidRPr="000D4424" w:rsidRDefault="000D4424" w:rsidP="000D4424">
      <w:pPr>
        <w:spacing w:after="0"/>
        <w:jc w:val="both"/>
      </w:pPr>
    </w:p>
    <w:p w14:paraId="26E5B2BE" w14:textId="77777777" w:rsidR="000D4424" w:rsidRDefault="000D4424" w:rsidP="000D4424">
      <w:pPr>
        <w:spacing w:after="0"/>
        <w:jc w:val="both"/>
      </w:pPr>
      <w:r w:rsidRPr="000D4424">
        <w:t>Any potential investor should note that investment in securities involves a high degree of risk. For details, potential investors should refer to the red herring prospectus, including the section titled “Risk Factors”, when available. Any decision on whether to invest in the equity shares described in the DRHP may only be made after a red herring prospectus has been filed with the RoC, and must be made solely on the basis of the red herring prospectus proposed to be filed with the RoC. As there may be material changes in the red herring prospectus versus the DRHP, potential investors should not rely on the DRHP filed with SEBI and the Stock Exchanges.</w:t>
      </w:r>
    </w:p>
    <w:p w14:paraId="0B7C6C85" w14:textId="77777777" w:rsidR="000D4424" w:rsidRPr="000D4424" w:rsidRDefault="000D4424" w:rsidP="000D4424">
      <w:pPr>
        <w:spacing w:after="0"/>
        <w:jc w:val="both"/>
      </w:pPr>
    </w:p>
    <w:p w14:paraId="5506E14A" w14:textId="0AF2021A" w:rsidR="000D4424" w:rsidRDefault="000D4424" w:rsidP="000D4424">
      <w:pPr>
        <w:spacing w:after="0"/>
        <w:jc w:val="both"/>
      </w:pPr>
      <w:r w:rsidRPr="000D4424">
        <w:t>You are accessing this website at your own risk and it is your responsibility to take precautions to ensure that it is free from viruses. Neither the Company, the Book Running Lead Managers nor their respective affiliates, directors, officers, agents, representatives, advisers or employees will be liable or have any responsibility of any kind for any loss or damage that you incur in the event of any failure or disruption of this website, or resulting from the act or omission of any other party involved in making this website or the data contained therein available to you, or from any other cause relating to your access to, inability to access, or use of this website or the DRHP</w:t>
      </w:r>
      <w:r>
        <w:t xml:space="preserve"> or the IPO AV</w:t>
      </w:r>
      <w:r w:rsidRPr="000D4424">
        <w:t>.</w:t>
      </w:r>
    </w:p>
    <w:p w14:paraId="27C7DBE0" w14:textId="77777777" w:rsidR="000D4424" w:rsidRPr="000D4424" w:rsidRDefault="000D4424" w:rsidP="000D4424">
      <w:pPr>
        <w:spacing w:after="0"/>
        <w:jc w:val="both"/>
      </w:pPr>
    </w:p>
    <w:p w14:paraId="03FDAB8E" w14:textId="3767754F" w:rsidR="000D4424" w:rsidRDefault="000D4424" w:rsidP="000D4424">
      <w:pPr>
        <w:spacing w:after="0"/>
        <w:jc w:val="both"/>
      </w:pPr>
      <w:r w:rsidRPr="000D4424">
        <w:t>Failure to comply with this disclaimer may result in a violation of the applicable laws of India and other jurisdictions. Any other information contained in, or that can be accessed via our website does not constitute a part of the DRHP</w:t>
      </w:r>
      <w:r>
        <w:t xml:space="preserve"> and IPO AV</w:t>
      </w:r>
      <w:r w:rsidRPr="000D4424">
        <w:t>.</w:t>
      </w:r>
    </w:p>
    <w:p w14:paraId="527092CA" w14:textId="77777777" w:rsidR="000D4424" w:rsidRPr="000D4424" w:rsidRDefault="000D4424" w:rsidP="000D4424">
      <w:pPr>
        <w:spacing w:after="0"/>
        <w:jc w:val="both"/>
      </w:pPr>
    </w:p>
    <w:p w14:paraId="35AB07A1" w14:textId="77777777" w:rsidR="000D4424" w:rsidRDefault="000D4424" w:rsidP="000D4424">
      <w:pPr>
        <w:spacing w:after="0"/>
        <w:jc w:val="both"/>
        <w:rPr>
          <w:b/>
          <w:bCs/>
        </w:rPr>
      </w:pPr>
      <w:r w:rsidRPr="000D4424">
        <w:rPr>
          <w:b/>
          <w:bCs/>
        </w:rPr>
        <w:t>IF YOU ARE NOT PERMITTED TO VIEW THE MATERIALS ON THIS WEBSITE OR ARE IN ANY DOUBT AS TO WHETHER YOU ARE PERMITTED TO VIEW THESE MATERIALS, PLEASE EXIT THIS WEBPAGE.</w:t>
      </w:r>
    </w:p>
    <w:p w14:paraId="03DCAEF6" w14:textId="77777777" w:rsidR="000D4424" w:rsidRPr="000D4424" w:rsidRDefault="000D4424" w:rsidP="000D4424">
      <w:pPr>
        <w:spacing w:after="0"/>
        <w:jc w:val="both"/>
      </w:pPr>
    </w:p>
    <w:p w14:paraId="7D50894C" w14:textId="77777777" w:rsidR="000D4424" w:rsidRDefault="000D4424" w:rsidP="000D4424">
      <w:pPr>
        <w:spacing w:after="0"/>
        <w:jc w:val="both"/>
      </w:pPr>
      <w:r w:rsidRPr="000D4424">
        <w:t>The documentation contained in these pages is posted solely to comply with Indian legal and regulatory requirements. Making the information contained herein available in electronic format does not constitute an offer to sell, the solicitation of an offer to buy, or a recommendation to buy or sell securities of the Company in any jurisdiction, including without limitation, India.</w:t>
      </w:r>
    </w:p>
    <w:p w14:paraId="1CFA1444" w14:textId="77777777" w:rsidR="000D4424" w:rsidRPr="008E62C1" w:rsidRDefault="000D4424" w:rsidP="008E62C1">
      <w:pPr>
        <w:spacing w:after="0"/>
        <w:jc w:val="both"/>
      </w:pPr>
    </w:p>
    <w:p w14:paraId="43D9E997" w14:textId="77777777" w:rsidR="00F439E0" w:rsidRDefault="00F439E0" w:rsidP="008E62C1">
      <w:pPr>
        <w:spacing w:after="0"/>
        <w:jc w:val="both"/>
      </w:pPr>
    </w:p>
    <w:sectPr w:rsidR="00F439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2753F" w14:textId="77777777" w:rsidR="001D5FE1" w:rsidRDefault="001D5FE1" w:rsidP="005B7D58">
      <w:pPr>
        <w:spacing w:after="0" w:line="240" w:lineRule="auto"/>
      </w:pPr>
      <w:r>
        <w:separator/>
      </w:r>
    </w:p>
  </w:endnote>
  <w:endnote w:type="continuationSeparator" w:id="0">
    <w:p w14:paraId="43905F93" w14:textId="77777777" w:rsidR="001D5FE1" w:rsidRDefault="001D5FE1" w:rsidP="005B7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00099" w14:textId="77777777" w:rsidR="001D5FE1" w:rsidRDefault="001D5FE1" w:rsidP="005B7D58">
      <w:pPr>
        <w:spacing w:after="0" w:line="240" w:lineRule="auto"/>
      </w:pPr>
      <w:r>
        <w:separator/>
      </w:r>
    </w:p>
  </w:footnote>
  <w:footnote w:type="continuationSeparator" w:id="0">
    <w:p w14:paraId="59A2D073" w14:textId="77777777" w:rsidR="001D5FE1" w:rsidRDefault="001D5FE1" w:rsidP="005B7D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C1"/>
    <w:rsid w:val="000D4424"/>
    <w:rsid w:val="001D5FE1"/>
    <w:rsid w:val="003975C7"/>
    <w:rsid w:val="00435144"/>
    <w:rsid w:val="00452570"/>
    <w:rsid w:val="0045437A"/>
    <w:rsid w:val="00462AC3"/>
    <w:rsid w:val="004E2BB8"/>
    <w:rsid w:val="005B7D58"/>
    <w:rsid w:val="00693549"/>
    <w:rsid w:val="006A44C2"/>
    <w:rsid w:val="00734628"/>
    <w:rsid w:val="007541C7"/>
    <w:rsid w:val="008366AF"/>
    <w:rsid w:val="00846F3E"/>
    <w:rsid w:val="00850909"/>
    <w:rsid w:val="008E62C1"/>
    <w:rsid w:val="00925EEA"/>
    <w:rsid w:val="00B8389F"/>
    <w:rsid w:val="00B97C8C"/>
    <w:rsid w:val="00BC6330"/>
    <w:rsid w:val="00C24667"/>
    <w:rsid w:val="00EA08FA"/>
    <w:rsid w:val="00EA4F4A"/>
    <w:rsid w:val="00F439E0"/>
    <w:rsid w:val="00F94B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5178"/>
  <w15:chartTrackingRefBased/>
  <w15:docId w15:val="{F64AB416-FFF7-4169-9B6F-B91DEE68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62C1"/>
    <w:rPr>
      <w:color w:val="0563C1" w:themeColor="hyperlink"/>
      <w:u w:val="single"/>
    </w:rPr>
  </w:style>
  <w:style w:type="character" w:styleId="UnresolvedMention">
    <w:name w:val="Unresolved Mention"/>
    <w:basedOn w:val="DefaultParagraphFont"/>
    <w:uiPriority w:val="99"/>
    <w:semiHidden/>
    <w:unhideWhenUsed/>
    <w:rsid w:val="008E62C1"/>
    <w:rPr>
      <w:color w:val="605E5C"/>
      <w:shd w:val="clear" w:color="auto" w:fill="E1DFDD"/>
    </w:rPr>
  </w:style>
  <w:style w:type="paragraph" w:styleId="Header">
    <w:name w:val="header"/>
    <w:basedOn w:val="Normal"/>
    <w:link w:val="HeaderChar"/>
    <w:uiPriority w:val="99"/>
    <w:unhideWhenUsed/>
    <w:rsid w:val="005B7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D58"/>
  </w:style>
  <w:style w:type="paragraph" w:styleId="Footer">
    <w:name w:val="footer"/>
    <w:basedOn w:val="Normal"/>
    <w:link w:val="FooterChar"/>
    <w:uiPriority w:val="99"/>
    <w:unhideWhenUsed/>
    <w:rsid w:val="005B7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D58"/>
  </w:style>
  <w:style w:type="paragraph" w:styleId="Revision">
    <w:name w:val="Revision"/>
    <w:hidden/>
    <w:uiPriority w:val="99"/>
    <w:semiHidden/>
    <w:rsid w:val="00B838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8301">
      <w:bodyDiv w:val="1"/>
      <w:marLeft w:val="0"/>
      <w:marRight w:val="0"/>
      <w:marTop w:val="0"/>
      <w:marBottom w:val="0"/>
      <w:divBdr>
        <w:top w:val="none" w:sz="0" w:space="0" w:color="auto"/>
        <w:left w:val="none" w:sz="0" w:space="0" w:color="auto"/>
        <w:bottom w:val="none" w:sz="0" w:space="0" w:color="auto"/>
        <w:right w:val="none" w:sz="0" w:space="0" w:color="auto"/>
      </w:divBdr>
    </w:div>
    <w:div w:id="124853394">
      <w:bodyDiv w:val="1"/>
      <w:marLeft w:val="0"/>
      <w:marRight w:val="0"/>
      <w:marTop w:val="0"/>
      <w:marBottom w:val="0"/>
      <w:divBdr>
        <w:top w:val="none" w:sz="0" w:space="0" w:color="auto"/>
        <w:left w:val="none" w:sz="0" w:space="0" w:color="auto"/>
        <w:bottom w:val="none" w:sz="0" w:space="0" w:color="auto"/>
        <w:right w:val="none" w:sz="0" w:space="0" w:color="auto"/>
      </w:divBdr>
    </w:div>
    <w:div w:id="187985777">
      <w:bodyDiv w:val="1"/>
      <w:marLeft w:val="0"/>
      <w:marRight w:val="0"/>
      <w:marTop w:val="0"/>
      <w:marBottom w:val="0"/>
      <w:divBdr>
        <w:top w:val="none" w:sz="0" w:space="0" w:color="auto"/>
        <w:left w:val="none" w:sz="0" w:space="0" w:color="auto"/>
        <w:bottom w:val="none" w:sz="0" w:space="0" w:color="auto"/>
        <w:right w:val="none" w:sz="0" w:space="0" w:color="auto"/>
      </w:divBdr>
    </w:div>
    <w:div w:id="584414796">
      <w:bodyDiv w:val="1"/>
      <w:marLeft w:val="0"/>
      <w:marRight w:val="0"/>
      <w:marTop w:val="0"/>
      <w:marBottom w:val="0"/>
      <w:divBdr>
        <w:top w:val="none" w:sz="0" w:space="0" w:color="auto"/>
        <w:left w:val="none" w:sz="0" w:space="0" w:color="auto"/>
        <w:bottom w:val="none" w:sz="0" w:space="0" w:color="auto"/>
        <w:right w:val="none" w:sz="0" w:space="0" w:color="auto"/>
      </w:divBdr>
    </w:div>
    <w:div w:id="617496282">
      <w:bodyDiv w:val="1"/>
      <w:marLeft w:val="0"/>
      <w:marRight w:val="0"/>
      <w:marTop w:val="0"/>
      <w:marBottom w:val="0"/>
      <w:divBdr>
        <w:top w:val="none" w:sz="0" w:space="0" w:color="auto"/>
        <w:left w:val="none" w:sz="0" w:space="0" w:color="auto"/>
        <w:bottom w:val="none" w:sz="0" w:space="0" w:color="auto"/>
        <w:right w:val="none" w:sz="0" w:space="0" w:color="auto"/>
      </w:divBdr>
    </w:div>
    <w:div w:id="788743489">
      <w:bodyDiv w:val="1"/>
      <w:marLeft w:val="0"/>
      <w:marRight w:val="0"/>
      <w:marTop w:val="0"/>
      <w:marBottom w:val="0"/>
      <w:divBdr>
        <w:top w:val="none" w:sz="0" w:space="0" w:color="auto"/>
        <w:left w:val="none" w:sz="0" w:space="0" w:color="auto"/>
        <w:bottom w:val="none" w:sz="0" w:space="0" w:color="auto"/>
        <w:right w:val="none" w:sz="0" w:space="0" w:color="auto"/>
      </w:divBdr>
    </w:div>
    <w:div w:id="806044993">
      <w:bodyDiv w:val="1"/>
      <w:marLeft w:val="0"/>
      <w:marRight w:val="0"/>
      <w:marTop w:val="0"/>
      <w:marBottom w:val="0"/>
      <w:divBdr>
        <w:top w:val="none" w:sz="0" w:space="0" w:color="auto"/>
        <w:left w:val="none" w:sz="0" w:space="0" w:color="auto"/>
        <w:bottom w:val="none" w:sz="0" w:space="0" w:color="auto"/>
        <w:right w:val="none" w:sz="0" w:space="0" w:color="auto"/>
      </w:divBdr>
    </w:div>
    <w:div w:id="180107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SEC</dc:creator>
  <cp:keywords/>
  <dc:description/>
  <cp:lastModifiedBy>I SEC</cp:lastModifiedBy>
  <cp:revision>4</cp:revision>
  <dcterms:created xsi:type="dcterms:W3CDTF">2025-01-29T17:26:00Z</dcterms:created>
  <dcterms:modified xsi:type="dcterms:W3CDTF">2025-01-29T18:15:00Z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e67a54-274b-43d7-8098-b3ba5f50e576_Enabled">
    <vt:lpwstr>true</vt:lpwstr>
  </property>
  <property fmtid="{D5CDD505-2E9C-101B-9397-08002B2CF9AE}" pid="3" name="MSIP_Label_42e67a54-274b-43d7-8098-b3ba5f50e576_SetDate">
    <vt:lpwstr>2025-01-29T15:20:53Z</vt:lpwstr>
  </property>
  <property fmtid="{D5CDD505-2E9C-101B-9397-08002B2CF9AE}" pid="4" name="MSIP_Label_42e67a54-274b-43d7-8098-b3ba5f50e576_Method">
    <vt:lpwstr>Standard</vt:lpwstr>
  </property>
  <property fmtid="{D5CDD505-2E9C-101B-9397-08002B2CF9AE}" pid="5" name="MSIP_Label_42e67a54-274b-43d7-8098-b3ba5f50e576_Name">
    <vt:lpwstr>42e67a54-274b-43d7-8098-b3ba5f50e576</vt:lpwstr>
  </property>
  <property fmtid="{D5CDD505-2E9C-101B-9397-08002B2CF9AE}" pid="6" name="MSIP_Label_42e67a54-274b-43d7-8098-b3ba5f50e576_SiteId">
    <vt:lpwstr>7f0b44d2-04f8-4672-bf5d-4676796468a3</vt:lpwstr>
  </property>
  <property fmtid="{D5CDD505-2E9C-101B-9397-08002B2CF9AE}" pid="7" name="MSIP_Label_42e67a54-274b-43d7-8098-b3ba5f50e576_ActionId">
    <vt:lpwstr>6634824d-ce41-4bf0-a654-6273a9862253</vt:lpwstr>
  </property>
  <property fmtid="{D5CDD505-2E9C-101B-9397-08002B2CF9AE}" pid="8" name="MSIP_Label_42e67a54-274b-43d7-8098-b3ba5f50e576_ContentBits">
    <vt:lpwstr>0</vt:lpwstr>
  </property>
</Properties>
</file>